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E21" w:rsidRPr="00723E21" w:rsidRDefault="00723E21" w:rsidP="00B355D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23E21">
        <w:rPr>
          <w:rFonts w:ascii="Times New Roman" w:hAnsi="Times New Roman" w:cs="Times New Roman"/>
          <w:b/>
          <w:sz w:val="28"/>
          <w:szCs w:val="28"/>
          <w:u w:val="single"/>
        </w:rPr>
        <w:t>Проектирование компенсации реактивной мощности.</w:t>
      </w:r>
    </w:p>
    <w:p w:rsidR="002C6DD4" w:rsidRDefault="00723E21" w:rsidP="00B3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3E21">
        <w:rPr>
          <w:rFonts w:ascii="Times New Roman" w:hAnsi="Times New Roman" w:cs="Times New Roman"/>
          <w:sz w:val="28"/>
          <w:szCs w:val="28"/>
        </w:rPr>
        <w:t>Изучение методики проектирования компенсации реактивной мощности, получение навыков проектирования компенсации в сетях до и выше 1кВ</w:t>
      </w:r>
    </w:p>
    <w:p w:rsidR="00723E21" w:rsidRPr="00723E21" w:rsidRDefault="00723E21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Нормативным материалам по компенсации реактивной моности являются «Указания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 проектированию компенсации реактивной мощности в электросетях промышленных предприятий» </w:t>
      </w:r>
      <w:proofErr w:type="spellStart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Главгосэнергонадзора</w:t>
      </w:r>
      <w:proofErr w:type="spellEnd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Минэнерго. Требования настоящих «Указаний» распространяются на всех промышленных и приравненным к ним потребителей электроэнергии, которые получают питание от </w:t>
      </w:r>
      <w:proofErr w:type="spellStart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энергоснабжающей</w:t>
      </w:r>
      <w:proofErr w:type="spellEnd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(энергосистемы). Указания охватывают вопросы выбора типа, мощности, места присоединения и режима работы компенсирующих устройств (КУ) в электросетях промышленных предприятий напряжением до и выше 1000 В.</w:t>
      </w:r>
    </w:p>
    <w:p w:rsidR="00723E21" w:rsidRPr="00723E21" w:rsidRDefault="00723E21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начальной стадии проектирования определяются максимальные суммарные расчетные активные и реактивные </w:t>
      </w:r>
      <w:proofErr w:type="spellStart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электронагрузки</w:t>
      </w:r>
      <w:proofErr w:type="spellEnd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предприятия </w:t>
      </w:r>
      <w:proofErr w:type="spellStart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мах</w:t>
      </w:r>
      <w:proofErr w:type="spellEnd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мах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естественном 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cosj</w:t>
      </w: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соответствии с «Указаниями по определению </w:t>
      </w:r>
      <w:proofErr w:type="spellStart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электронагрузок</w:t>
      </w:r>
      <w:proofErr w:type="spellEnd"/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промышленных установках».</w:t>
      </w:r>
    </w:p>
    <w:p w:rsidR="00723E21" w:rsidRDefault="00723E21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Максимальная суммарная реактивная нагрузка предприятия, принимаемая для определения мощности КУ</w:t>
      </w:r>
      <w:r w:rsidR="00B355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B7C069F" wp14:editId="5AAEE4E4">
            <wp:extent cx="1180465" cy="266065"/>
            <wp:effectExtent l="0" t="0" r="635" b="635"/>
            <wp:docPr id="13" name="Рисунок 13" descr="https://libr.aues.kz/facultet/eef/kaf_epp/27/umm/epp_3.files/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ibr.aues.kz/facultet/eef/kaf_epp/27/umm/epp_3.files/image12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где 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коэффициент, учитывающий несовпадение по времени максимальных активной нагрузки энергосистемы и реактивной мощности промышленного предприятия.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Значения 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принимаются в зависимости от отрасли промышленности: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нефтеперерабатывающая, текстильная – 0,85;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черная и цветная металлургия, химическая, нефтедобывающая, пищевая, стройматериалов, бумажная – 0,9;</w:t>
      </w:r>
    </w:p>
    <w:p w:rsidR="00B355D7" w:rsidRPr="00B355D7" w:rsidRDefault="00B355D7" w:rsidP="00B355D7">
      <w:pPr>
        <w:spacing w:after="0" w:line="240" w:lineRule="auto"/>
        <w:ind w:right="-172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угольная, газовая, машиностроительная, металлообрабатывающая-0,85;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прочие – 0,75.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Предприятие сообщает в энергосистему значения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мах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мах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для определения экономически оптимальной реактивной мощности, которая может быть передана предприятию в режимах максимальной и минимальной годовых активных нагрузок энергосистемы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э1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э2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э1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определяется суммарная мощность КУ предприятия, а по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э2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регулируемая часть КУ.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Суммарная мощность КУ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к1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определяется необходимым балансом реактивной мощности на границе раздела сетей предприятия и энергосистемы в период ее максимальной активной нагрузки: </w:t>
      </w: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016A74D" wp14:editId="2BE84FE6">
            <wp:extent cx="1201420" cy="266065"/>
            <wp:effectExtent l="0" t="0" r="0" b="635"/>
            <wp:docPr id="14" name="Рисунок 14" descr="https://libr.aues.kz/facultet/eef/kaf_epp/27/umm/epp_3.files/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libr.aues.kz/facultet/eef/kaf_epp/27/umm/epp_3.files/image12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42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Электросети предприятий условно подразделены на: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сети общего назначения;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б) сети со специфическими (нелинейными, несимметричными и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резкопеременными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нагрузками.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качестве средств компенсации реактивной мощности (КРМ) следует принимать: в сетях общего назначения – батареи конденсаторов (БК) и синхронные двигатели (СД).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Компенсация реактивной мощности в электросетях напряжением до 1000 В. Суммарная расчетная мощность БК напряжением до 1000 В (НБК) определяется двумя последовательными расчетными этапами по минимуму приведенных затрат: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выбор экономически оптимального числа трансформаторов цеховых ТП с учетом компенсации реактивной мощности;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б) определение дополнительной мощности НБК в целях оптимального снижения потерь в трансформаторах и сети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=6-10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предприятия, питающей эти трансформаторы.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 Суммарная расчетная мощность НБК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701D0EE2" wp14:editId="1701FCDD">
            <wp:extent cx="1637665" cy="266065"/>
            <wp:effectExtent l="0" t="0" r="635" b="635"/>
            <wp:docPr id="15" name="Рисунок 15" descr="https://libr.aues.kz/facultet/eef/kaf_epp/27/umm/epp_3.files/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ibr.aues.kz/facultet/eef/kaf_epp/27/umm/epp_3.files/image12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суммарные мощности батарей, определенные на двух этапах расчета.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Суммарная мощность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распределяется между отдельными трансформаторами пропорционально их реактивным нагрузкам.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 этап. Определение мощности НБК по условию выбора оптимального числа цеховых трансформаторов.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каждой технологически концентрированной группы цеховых трансформаторов одинаковой мощности минимальное их число, необходимое для питания максимальной активной нагрузки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5D0F31B" wp14:editId="2DF6413D">
            <wp:extent cx="1488440" cy="425450"/>
            <wp:effectExtent l="0" t="0" r="0" b="0"/>
            <wp:docPr id="16" name="Рисунок 16" descr="https://libr.aues.kz/facultet/eef/kaf_epp/27/umm/epp_3.files/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libr.aues.kz/facultet/eef/kaf_epp/27/umm/epp_3.files/image12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где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махт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максимальная суммарная расчетная нагрузка для данной группы трансформаторов;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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т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коэффициент загрузки (К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трансформаторов;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т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принятая номинальная мощность одного трансформатора;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добавка до ближайшего большего целого числа.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Экономически оптимальное число трансформаторов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C0B2827" wp14:editId="71C0E0F1">
            <wp:extent cx="1254760" cy="233680"/>
            <wp:effectExtent l="0" t="0" r="0" b="0"/>
            <wp:docPr id="17" name="Рисунок 17" descr="https://libr.aues.kz/facultet/eef/kaf_epp/27/umm/epp_3.files/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libr.aues.kz/facultet/eef/kaf_epp/27/umm/epp_3.files/image12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6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m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дополнительное число трансформаторов.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Число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proofErr w:type="spellStart"/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т.э</w:t>
      </w:r>
      <w:proofErr w:type="spellEnd"/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определяется удельными затратами на передачу реактивной мощности с учетом постоянных составляющих капитальных затрат. Для расчетов по удельным затратам необходимо знать достоверные стоимостные показатели НБК, ВБК и ТП.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отсутствии достоверных стоимостных показателей для практических расчетов допускается принимать затраты на п/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З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*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п/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ст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=0,5 и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proofErr w:type="spellStart"/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т.э</w:t>
      </w:r>
      <w:proofErr w:type="spellEnd"/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определять упрощенным методом по кривым в зависимости от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m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m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f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spellStart"/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min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т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 </w:t>
      </w:r>
      <w:r w:rsidRPr="00B355D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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выбранному числу трансформаторов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proofErr w:type="spellStart"/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т.э</w:t>
      </w:r>
      <w:proofErr w:type="spellEnd"/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определяют максимальную реактивную мощность, которую целесообразно передать через трансформаторы в сеть напряжением до 1000 В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31035BD" wp14:editId="217B3332">
            <wp:extent cx="2062480" cy="318770"/>
            <wp:effectExtent l="0" t="0" r="0" b="5080"/>
            <wp:docPr id="18" name="Рисунок 18" descr="https://libr.aues.kz/facultet/eef/kaf_epp/27/umm/epp_3.files/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libr.aues.kz/facultet/eef/kaf_epp/27/umm/epp_3.files/image12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0" cy="31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Суммарная мощность НБК для данной группы трансформаторов: (из условия баланса реактивной мощности на шинах 0,4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0FEA57C6" wp14:editId="13B306B8">
            <wp:extent cx="1339850" cy="266065"/>
            <wp:effectExtent l="0" t="0" r="0" b="635"/>
            <wp:docPr id="19" name="Рисунок 19" descr="https://libr.aues.kz/facultet/eef/kaf_epp/27/umm/epp_3.files/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ibr.aues.kz/facultet/eef/kaf_epp/27/umm/epp_3.files/image12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р0,4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суммарная максимальная расчетная нагрузка.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окажется, что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&lt; 0</w:t>
      </w:r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=0.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921"/>
      </w:tblGrid>
      <w:tr w:rsidR="00B355D7" w:rsidRPr="00B355D7" w:rsidTr="00B355D7">
        <w:trPr>
          <w:tblCellSpacing w:w="0" w:type="dxa"/>
        </w:trPr>
        <w:tc>
          <w:tcPr>
            <w:tcW w:w="0" w:type="auto"/>
            <w:vAlign w:val="center"/>
            <w:hideMark/>
          </w:tcPr>
          <w:p w:rsidR="00B355D7" w:rsidRPr="00B355D7" w:rsidRDefault="00B355D7" w:rsidP="00B355D7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355D7" w:rsidRPr="00B355D7" w:rsidRDefault="00B355D7" w:rsidP="00B355D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5D7">
              <w:rPr>
                <w:rFonts w:ascii="Times New Roman" w:eastAsia="Times New Roman" w:hAnsi="Times New Roman" w:cs="Times New Roman"/>
                <w:noProof/>
                <w:sz w:val="27"/>
                <w:szCs w:val="27"/>
                <w:lang w:eastAsia="ru-RU"/>
              </w:rPr>
              <w:drawing>
                <wp:inline distT="0" distB="0" distL="0" distR="0" wp14:anchorId="2C35FEAE" wp14:editId="69AACEAA">
                  <wp:extent cx="3944620" cy="2137410"/>
                  <wp:effectExtent l="0" t="0" r="0" b="0"/>
                  <wp:docPr id="20" name="Рисунок 20" descr="https://libr.aues.kz/facultet/eef/kaf_epp/27/umm/epp_3.files/image1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libr.aues.kz/facultet/eef/kaf_epp/27/umm/epp_3.files/image1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4620" cy="2137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55D7" w:rsidRPr="00B355D7" w:rsidRDefault="00B355D7" w:rsidP="00B355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Схема, поясняющая баланс реактивной мощности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 этап. Определение мощности НБК в целях оптимального снижения потерь. Дополнительная суммарная мощность НБК для данной группы трансформаторов</w:t>
      </w:r>
    </w:p>
    <w:p w:rsidR="00B355D7" w:rsidRPr="00B355D7" w:rsidRDefault="00B355D7" w:rsidP="00B355D7">
      <w:pPr>
        <w:spacing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E781215" wp14:editId="17D970E4">
            <wp:extent cx="2487930" cy="266065"/>
            <wp:effectExtent l="0" t="0" r="7620" b="635"/>
            <wp:docPr id="21" name="Рисунок 21" descr="https://libr.aues.kz/facultet/eef/kaf_epp/27/umm/epp_3.files/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libr.aues.kz/facultet/eef/kaf_epp/27/umm/epp_3.files/image13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B355D7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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расчетный коэффициент, принимаемый по кривым в зависимости от схемы питания ТП (радиальная, магистральная), и от коэффициентов К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К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которые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расчитываются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формулам:</w:t>
      </w:r>
    </w:p>
    <w:p w:rsidR="00B355D7" w:rsidRPr="00B355D7" w:rsidRDefault="00B355D7" w:rsidP="00B355D7">
      <w:pPr>
        <w:spacing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4F5A844C" wp14:editId="1392466E">
            <wp:extent cx="2902585" cy="308610"/>
            <wp:effectExtent l="0" t="0" r="0" b="0"/>
            <wp:docPr id="22" name="Рисунок 22" descr="https://libr.aues.kz/facultet/eef/kaf_epp/27/umm/epp_3.files/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libr.aues.kz/facultet/eef/kaf_epp/27/umm/epp_3.files/image13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 С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0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расчетная стоимость потерь (по таблице),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F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– 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общее</w:t>
      </w:r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сечение линии;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l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– 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длина</w:t>
      </w:r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линии.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отсутствии достоверных данных для расчета К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К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 формулам их значения рекомендуется принимать по таблицам в зависимости от энергосистемы, количества рабочих смен, мощности трансформатора и длины питающей линии (км) – длина участка до первого трансформатора магистрали. Если окажется, что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&lt; 0</w:t>
      </w:r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 для данной группы трансформаторов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=0.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После выбора </w:t>
      </w:r>
      <w:proofErr w:type="gram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мощности 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proofErr w:type="spellStart"/>
      <w:proofErr w:type="gram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необходимо распределить эту мощность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пропорциально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реактивной нагрузке подстанций.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распределительная сеть п/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выполнена только кабельными линиями, НБК рекомендуется присоединять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непосредственоо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 шинам ТП.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При питании нагрузки от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шинопроводов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НБК присоединяется к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шинопроводам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цехе.</w:t>
      </w:r>
    </w:p>
    <w:p w:rsidR="00B355D7" w:rsidRPr="00B355D7" w:rsidRDefault="00B355D7" w:rsidP="00B355D7">
      <w:pPr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</w:t>
      </w:r>
    </w:p>
    <w:p w:rsidR="00B355D7" w:rsidRPr="00B355D7" w:rsidRDefault="00B355D7" w:rsidP="00B355D7">
      <w:pPr>
        <w:spacing w:after="0" w:line="240" w:lineRule="auto"/>
        <w:ind w:left="708"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62F25AC" wp14:editId="59C4F78C">
            <wp:extent cx="2966720" cy="967740"/>
            <wp:effectExtent l="0" t="0" r="5080" b="3810"/>
            <wp:docPr id="23" name="Рисунок 23" descr="https://libr.aues.kz/facultet/eef/kaf_epp/27/umm/epp_3.files/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ibr.aues.kz/facultet/eef/kaf_epp/27/umm/epp_3.files/image13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5D7" w:rsidRPr="00B355D7" w:rsidRDefault="00B355D7" w:rsidP="00B355D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2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схема присоединения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НБК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шинопроводу</w:t>
      </w:r>
      <w:proofErr w:type="spellEnd"/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 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Компенсация реактивной мощности в сетях напряжением 6-10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кВ.</w:t>
      </w:r>
      <w:proofErr w:type="spellEnd"/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Определяется реактивная нагрузка на шинах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=6-10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кВ.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качестве потребителей электроэнергии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р6-10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могут быть АД большой мощности, ДСП, СД в режиме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недовозбуждения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(если их К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з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≤1). Затем определяется суммарная реактивная мощность </w:t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вбк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для всего предприятия из условия баланса реактивной мощности на шинах 6-10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</w:t>
      </w:r>
      <w:proofErr w:type="spellEnd"/>
    </w:p>
    <w:p w:rsidR="00B355D7" w:rsidRPr="00B355D7" w:rsidRDefault="00B355D7" w:rsidP="00B355D7">
      <w:pPr>
        <w:spacing w:after="0" w:line="240" w:lineRule="auto"/>
        <w:ind w:right="-5"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55D7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2AF589A3" wp14:editId="4C972926">
            <wp:extent cx="1754505" cy="393700"/>
            <wp:effectExtent l="0" t="0" r="0" b="6350"/>
            <wp:docPr id="24" name="Рисунок 24" descr="https://libr.aues.kz/facultet/eef/kaf_epp/27/umm/epp_3.files/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ibr.aues.kz/facultet/eef/kaf_epp/27/umm/epp_3.files/image134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05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B355D7" w:rsidRPr="00B355D7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Мощность ВБК распределяется между отдельными РП пропорционально их реактивной нагрузке на шинах 6-10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округляется до ближайшей стандартной мощности комплектных конденсаторных установок (ККУ). К каждой секции РП рекомендуется подключать ККУ одинаковой мощности, но не менее 1000 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квар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При меньшей мощности БК ее следует устанавливать на шинах питающей п/</w:t>
      </w:r>
      <w:proofErr w:type="spellStart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</w:t>
      </w:r>
      <w:proofErr w:type="spellEnd"/>
      <w:r w:rsidRPr="00B355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(ГПП или ЦРП).</w:t>
      </w:r>
    </w:p>
    <w:p w:rsidR="00B355D7" w:rsidRPr="00723E21" w:rsidRDefault="00B355D7" w:rsidP="00B355D7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23E21" w:rsidRPr="00723E21" w:rsidRDefault="00723E21" w:rsidP="00B3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23E21" w:rsidRPr="00723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E21"/>
    <w:rsid w:val="002C6DD4"/>
    <w:rsid w:val="00723E21"/>
    <w:rsid w:val="00B3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555FA"/>
  <w15:chartTrackingRefBased/>
  <w15:docId w15:val="{FCB2A4B0-0C63-4395-BF21-E90386114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723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978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2021-12-07T07:31:00Z</dcterms:created>
  <dcterms:modified xsi:type="dcterms:W3CDTF">2021-12-07T07:49:00Z</dcterms:modified>
</cp:coreProperties>
</file>